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24" w:rsidRDefault="00385D55">
      <w:pPr>
        <w:pStyle w:val="Standard"/>
        <w:spacing w:line="460" w:lineRule="exact"/>
      </w:pPr>
      <w:bookmarkStart w:id="0" w:name="_GoBack"/>
      <w:r>
        <w:rPr>
          <w:rFonts w:ascii="Times New Roman" w:eastAsia="標楷體" w:hAnsi="Times New Roman"/>
          <w:sz w:val="40"/>
          <w:szCs w:val="28"/>
        </w:rPr>
        <w:t>教育部國民及學前教育署補助實施戶外教育與海洋教育要點</w:t>
      </w:r>
    </w:p>
    <w:bookmarkEnd w:id="0"/>
    <w:p w:rsidR="00771F24" w:rsidRDefault="00385D55">
      <w:pPr>
        <w:pStyle w:val="a5"/>
        <w:widowControl/>
        <w:numPr>
          <w:ilvl w:val="0"/>
          <w:numId w:val="15"/>
        </w:numPr>
        <w:spacing w:before="240" w:line="460" w:lineRule="exact"/>
        <w:ind w:left="567" w:hanging="57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教育部國民及學前教育署（以下簡稱本署）依據戶外教育實施計畫及海洋教育政策白皮書，為落實國民小學及國民中學戶外教育及海洋教育理念，特訂定本要點。</w:t>
      </w:r>
    </w:p>
    <w:p w:rsidR="00771F24" w:rsidRDefault="00385D55">
      <w:pPr>
        <w:pStyle w:val="a5"/>
        <w:widowControl/>
        <w:numPr>
          <w:ilvl w:val="0"/>
          <w:numId w:val="2"/>
        </w:numPr>
        <w:spacing w:before="240" w:line="460" w:lineRule="exact"/>
        <w:ind w:left="567" w:hanging="57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本要點補助對象如下：</w:t>
      </w:r>
    </w:p>
    <w:p w:rsidR="00771F24" w:rsidRDefault="00385D55">
      <w:pPr>
        <w:pStyle w:val="a5"/>
        <w:numPr>
          <w:ilvl w:val="0"/>
          <w:numId w:val="16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各直轄市及縣（市）政府（以下簡稱地方政府）。</w:t>
      </w:r>
    </w:p>
    <w:p w:rsidR="00771F24" w:rsidRDefault="00385D55">
      <w:pPr>
        <w:pStyle w:val="a5"/>
        <w:numPr>
          <w:ilvl w:val="0"/>
          <w:numId w:val="3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國立高級中等以上學校附設國民中學、國民小學或國民中學部及國民小學部（以下簡稱國立學校附設國民中小學）。</w:t>
      </w:r>
    </w:p>
    <w:p w:rsidR="00771F24" w:rsidRDefault="00385D55">
      <w:pPr>
        <w:pStyle w:val="a5"/>
        <w:numPr>
          <w:ilvl w:val="0"/>
          <w:numId w:val="3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非學校型態實驗教育機構（以下簡稱實驗教育機構）。</w:t>
      </w:r>
    </w:p>
    <w:p w:rsidR="00771F24" w:rsidRDefault="00385D55">
      <w:pPr>
        <w:pStyle w:val="a5"/>
        <w:numPr>
          <w:ilvl w:val="0"/>
          <w:numId w:val="3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與本署合作進行國民中學、國民小學（以下簡稱國中小）戶外教育之社會、文化、自然與環境教育之機關與公立機構（以下簡稱各機關（構））。</w:t>
      </w:r>
    </w:p>
    <w:p w:rsidR="00771F24" w:rsidRDefault="00385D55">
      <w:pPr>
        <w:pStyle w:val="a5"/>
        <w:widowControl/>
        <w:numPr>
          <w:ilvl w:val="0"/>
          <w:numId w:val="2"/>
        </w:numPr>
        <w:spacing w:before="240" w:line="460" w:lineRule="exact"/>
        <w:ind w:left="567" w:hanging="57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本要點補助項目如下：</w:t>
      </w:r>
    </w:p>
    <w:p w:rsidR="00771F24" w:rsidRDefault="00385D55">
      <w:pPr>
        <w:pStyle w:val="a5"/>
        <w:numPr>
          <w:ilvl w:val="0"/>
          <w:numId w:val="17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設置</w:t>
      </w:r>
      <w:bookmarkStart w:id="1" w:name="_Hlk71874663"/>
      <w:r>
        <w:rPr>
          <w:rFonts w:ascii="Times New Roman" w:eastAsia="標楷體" w:hAnsi="Times New Roman"/>
          <w:kern w:val="0"/>
          <w:sz w:val="28"/>
          <w:szCs w:val="28"/>
        </w:rPr>
        <w:t>戶外教育及海洋教育中心</w:t>
      </w:r>
      <w:bookmarkEnd w:id="1"/>
      <w:r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771F24" w:rsidRDefault="00385D55">
      <w:pPr>
        <w:pStyle w:val="a5"/>
        <w:numPr>
          <w:ilvl w:val="0"/>
          <w:numId w:val="4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辦理戶外教育課程。</w:t>
      </w:r>
    </w:p>
    <w:p w:rsidR="00771F24" w:rsidRDefault="00385D55">
      <w:pPr>
        <w:pStyle w:val="a5"/>
        <w:numPr>
          <w:ilvl w:val="0"/>
          <w:numId w:val="4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推動海洋教育課程。</w:t>
      </w:r>
    </w:p>
    <w:p w:rsidR="00771F24" w:rsidRDefault="00385D55">
      <w:pPr>
        <w:pStyle w:val="a5"/>
        <w:numPr>
          <w:ilvl w:val="0"/>
          <w:numId w:val="4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各機關（構）辦理偏遠地區國民中小學戶外教育課程。</w:t>
      </w:r>
      <w:bookmarkStart w:id="2" w:name="_Hlk66260572"/>
      <w:bookmarkEnd w:id="2"/>
    </w:p>
    <w:p w:rsidR="00771F24" w:rsidRDefault="00385D55">
      <w:pPr>
        <w:pStyle w:val="Standard"/>
        <w:spacing w:line="460" w:lineRule="exact"/>
        <w:ind w:left="1981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前項補助項目之辦理內容及補助基準，規定如附表。</w:t>
      </w:r>
    </w:p>
    <w:p w:rsidR="00771F24" w:rsidRDefault="00385D55">
      <w:pPr>
        <w:pStyle w:val="a5"/>
        <w:widowControl/>
        <w:numPr>
          <w:ilvl w:val="0"/>
          <w:numId w:val="2"/>
        </w:numPr>
        <w:spacing w:before="240" w:line="460" w:lineRule="exact"/>
        <w:ind w:left="567" w:hanging="57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地方政府應整合地方資源規劃發展重點及推動策略，設置戶外教育及海洋教育中心，訂定戶外教育及海洋教育中長程計畫，並成立戶外教育及海洋教育推動小組；其成員，包括教育行政機關代表、學校代表、學者專家及其他相關人員。</w:t>
      </w:r>
    </w:p>
    <w:p w:rsidR="00771F24" w:rsidRDefault="00385D55">
      <w:pPr>
        <w:pStyle w:val="a5"/>
        <w:widowControl/>
        <w:numPr>
          <w:ilvl w:val="0"/>
          <w:numId w:val="2"/>
        </w:numPr>
        <w:spacing w:before="240" w:line="460" w:lineRule="exact"/>
        <w:ind w:left="567" w:hanging="57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地方政府、國立學校附設國民中小學及各機關（構），應於本署規定期間，按補助項目，分別擬具計畫，填具經費申請表，向本署提出申請；各項辦理內容及條件分述如下：</w:t>
      </w:r>
    </w:p>
    <w:p w:rsidR="00771F24" w:rsidRDefault="00385D55">
      <w:pPr>
        <w:pStyle w:val="a5"/>
        <w:numPr>
          <w:ilvl w:val="0"/>
          <w:numId w:val="18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設置戶外教育及海洋教育中心：</w:t>
      </w:r>
    </w:p>
    <w:p w:rsidR="00771F24" w:rsidRDefault="00385D55">
      <w:pPr>
        <w:pStyle w:val="a5"/>
        <w:numPr>
          <w:ilvl w:val="0"/>
          <w:numId w:val="19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健全組織運作。</w:t>
      </w:r>
    </w:p>
    <w:p w:rsidR="00771F24" w:rsidRDefault="00385D55">
      <w:pPr>
        <w:pStyle w:val="a5"/>
        <w:numPr>
          <w:ilvl w:val="0"/>
          <w:numId w:val="6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發展學習路線。</w:t>
      </w:r>
    </w:p>
    <w:p w:rsidR="00771F24" w:rsidRDefault="00385D55">
      <w:pPr>
        <w:pStyle w:val="a5"/>
        <w:numPr>
          <w:ilvl w:val="0"/>
          <w:numId w:val="6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提升教學專業。</w:t>
      </w:r>
    </w:p>
    <w:p w:rsidR="00771F24" w:rsidRDefault="00385D55">
      <w:pPr>
        <w:pStyle w:val="a5"/>
        <w:numPr>
          <w:ilvl w:val="0"/>
          <w:numId w:val="6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建構資源網絡。</w:t>
      </w:r>
    </w:p>
    <w:p w:rsidR="00771F24" w:rsidRDefault="00385D55">
      <w:pPr>
        <w:pStyle w:val="a5"/>
        <w:numPr>
          <w:ilvl w:val="0"/>
          <w:numId w:val="6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呈現推動亮點。</w:t>
      </w:r>
      <w:bookmarkStart w:id="3" w:name="_Hlk67296379"/>
      <w:bookmarkEnd w:id="3"/>
    </w:p>
    <w:p w:rsidR="00771F24" w:rsidRDefault="00385D55">
      <w:pPr>
        <w:pStyle w:val="a5"/>
        <w:numPr>
          <w:ilvl w:val="0"/>
          <w:numId w:val="5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辦理戶外教育課程：</w:t>
      </w:r>
    </w:p>
    <w:p w:rsidR="00771F24" w:rsidRDefault="00385D55">
      <w:pPr>
        <w:pStyle w:val="a5"/>
        <w:numPr>
          <w:ilvl w:val="0"/>
          <w:numId w:val="20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學校實施戶外教育。</w:t>
      </w:r>
    </w:p>
    <w:p w:rsidR="00771F24" w:rsidRDefault="00385D55">
      <w:pPr>
        <w:pStyle w:val="a5"/>
        <w:numPr>
          <w:ilvl w:val="0"/>
          <w:numId w:val="7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學校推展優質戶外教育路線。</w:t>
      </w:r>
    </w:p>
    <w:p w:rsidR="00771F24" w:rsidRDefault="00385D55">
      <w:pPr>
        <w:pStyle w:val="a5"/>
        <w:numPr>
          <w:ilvl w:val="0"/>
          <w:numId w:val="7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學校辦理戶外教育自主學習課程。</w:t>
      </w:r>
    </w:p>
    <w:p w:rsidR="00771F24" w:rsidRDefault="00385D55">
      <w:pPr>
        <w:pStyle w:val="a5"/>
        <w:numPr>
          <w:ilvl w:val="0"/>
          <w:numId w:val="5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推動海洋教育課程：</w:t>
      </w:r>
    </w:p>
    <w:p w:rsidR="00771F24" w:rsidRDefault="00385D55">
      <w:pPr>
        <w:pStyle w:val="a5"/>
        <w:numPr>
          <w:ilvl w:val="0"/>
          <w:numId w:val="21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研發海洋教育教材。</w:t>
      </w:r>
    </w:p>
    <w:p w:rsidR="00771F24" w:rsidRDefault="00385D55">
      <w:pPr>
        <w:pStyle w:val="a5"/>
        <w:numPr>
          <w:ilvl w:val="0"/>
          <w:numId w:val="8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提升教師海洋教育素養。</w:t>
      </w:r>
    </w:p>
    <w:p w:rsidR="00771F24" w:rsidRDefault="00385D55">
      <w:pPr>
        <w:pStyle w:val="a5"/>
        <w:numPr>
          <w:ilvl w:val="0"/>
          <w:numId w:val="8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辦理學生海洋體驗課程活動。</w:t>
      </w:r>
    </w:p>
    <w:p w:rsidR="00771F24" w:rsidRDefault="00385D55">
      <w:pPr>
        <w:pStyle w:val="a5"/>
        <w:numPr>
          <w:ilvl w:val="0"/>
          <w:numId w:val="5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各機關（構）辦理偏遠地區國民中小學戶外教育課程：鼓勵偏鄉清寒學生參與進行社會、文化、自然及環境之戶外教育課程。</w:t>
      </w:r>
      <w:bookmarkStart w:id="4" w:name="_Hlk66457112"/>
      <w:bookmarkEnd w:id="4"/>
    </w:p>
    <w:p w:rsidR="00771F24" w:rsidRDefault="00385D55">
      <w:pPr>
        <w:pStyle w:val="Standard"/>
        <w:numPr>
          <w:ilvl w:val="0"/>
          <w:numId w:val="2"/>
        </w:numPr>
        <w:tabs>
          <w:tab w:val="left" w:pos="1280"/>
        </w:tabs>
        <w:spacing w:line="460" w:lineRule="exact"/>
        <w:ind w:left="560" w:hanging="56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申請、審查及核定原則如下：</w:t>
      </w:r>
    </w:p>
    <w:p w:rsidR="00771F24" w:rsidRDefault="00385D55">
      <w:pPr>
        <w:pStyle w:val="a5"/>
        <w:numPr>
          <w:ilvl w:val="0"/>
          <w:numId w:val="22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申請：</w:t>
      </w:r>
    </w:p>
    <w:p w:rsidR="00771F24" w:rsidRDefault="00385D55">
      <w:pPr>
        <w:pStyle w:val="a5"/>
        <w:numPr>
          <w:ilvl w:val="0"/>
          <w:numId w:val="23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地方政府申請補助，應於本署指定期限前，撰寫戶外與海洋教育總體計畫，針對各項國中小及實驗教育機構申請之計畫，訂定審查原則並進行初審後，就其主管之學校列冊，向本署提出。</w:t>
      </w:r>
    </w:p>
    <w:p w:rsidR="00771F24" w:rsidRDefault="00385D55">
      <w:pPr>
        <w:pStyle w:val="a5"/>
        <w:numPr>
          <w:ilvl w:val="0"/>
          <w:numId w:val="10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國立學校附設國民中小學或各機關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構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申請補助，應擬具計畫，逕向本署提出。</w:t>
      </w:r>
    </w:p>
    <w:p w:rsidR="00771F24" w:rsidRDefault="00385D55">
      <w:pPr>
        <w:pStyle w:val="a5"/>
        <w:numPr>
          <w:ilvl w:val="0"/>
          <w:numId w:val="10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計畫屬整合其他機關或學校者，應敘明清楚，並載明計畫之內容範圍及經費需求，不得重複申請。</w:t>
      </w:r>
    </w:p>
    <w:p w:rsidR="00771F24" w:rsidRDefault="00385D55">
      <w:pPr>
        <w:pStyle w:val="a5"/>
        <w:numPr>
          <w:ilvl w:val="0"/>
          <w:numId w:val="9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審查：本署受理前款申請後，得組成審查小組，就地方政府、國立學校附設國民中小學及實驗教育機構申請案審查之；必要時，得請申請人修正計畫內容；本署就各機關</w:t>
      </w:r>
      <w:r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kern w:val="0"/>
          <w:sz w:val="28"/>
          <w:szCs w:val="28"/>
        </w:rPr>
        <w:t>構</w:t>
      </w:r>
      <w:r>
        <w:rPr>
          <w:rFonts w:ascii="Times New Roman" w:eastAsia="標楷體" w:hAnsi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 w:val="28"/>
          <w:szCs w:val="28"/>
        </w:rPr>
        <w:t>之申請案，依申請之個案審查之。</w:t>
      </w:r>
    </w:p>
    <w:p w:rsidR="00771F24" w:rsidRDefault="00385D55">
      <w:pPr>
        <w:pStyle w:val="a5"/>
        <w:numPr>
          <w:ilvl w:val="0"/>
          <w:numId w:val="9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核定：前揭申請案經本署審查通過，核定其計畫及補助金額後，通知申請人。</w:t>
      </w:r>
    </w:p>
    <w:p w:rsidR="00771F24" w:rsidRDefault="00385D55">
      <w:pPr>
        <w:pStyle w:val="a5"/>
        <w:numPr>
          <w:ilvl w:val="0"/>
          <w:numId w:val="9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依本要點請領補助、核撥及結報，除依教育部補（捐）助及委辦經費核撥結報作業要點規定辦理外，其他規</w:t>
      </w:r>
      <w:r>
        <w:rPr>
          <w:rFonts w:ascii="Times New Roman" w:eastAsia="標楷體" w:hAnsi="Times New Roman"/>
          <w:kern w:val="0"/>
          <w:sz w:val="28"/>
          <w:szCs w:val="28"/>
        </w:rPr>
        <w:t>定如下：</w:t>
      </w:r>
    </w:p>
    <w:p w:rsidR="00771F24" w:rsidRDefault="00385D55">
      <w:pPr>
        <w:pStyle w:val="a5"/>
        <w:numPr>
          <w:ilvl w:val="0"/>
          <w:numId w:val="24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補助比率：</w:t>
      </w:r>
    </w:p>
    <w:p w:rsidR="00771F24" w:rsidRDefault="00385D55">
      <w:pPr>
        <w:pStyle w:val="a5"/>
        <w:numPr>
          <w:ilvl w:val="0"/>
          <w:numId w:val="25"/>
        </w:numPr>
        <w:spacing w:line="460" w:lineRule="exact"/>
        <w:ind w:left="1418" w:hanging="417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地方政府：依中央對直轄市及縣（市）政府補助辦法及本署經費編列情形，就地方政府財力級次，給予不同補助。屬第一級者，最高補助百分之八十五；第二級者，百分之八十七；第三級者，百分之八十八；第四級者，百分之八十九；第五級者，百分之九十。</w:t>
      </w:r>
    </w:p>
    <w:p w:rsidR="00771F24" w:rsidRDefault="00385D55">
      <w:pPr>
        <w:pStyle w:val="a5"/>
        <w:numPr>
          <w:ilvl w:val="0"/>
          <w:numId w:val="12"/>
        </w:numPr>
        <w:spacing w:line="460" w:lineRule="exact"/>
        <w:ind w:left="1418" w:hanging="417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國立學校附設國民中小學：全額補助。</w:t>
      </w:r>
    </w:p>
    <w:p w:rsidR="00771F24" w:rsidRDefault="00385D55">
      <w:pPr>
        <w:pStyle w:val="a5"/>
        <w:numPr>
          <w:ilvl w:val="0"/>
          <w:numId w:val="12"/>
        </w:numPr>
        <w:spacing w:line="460" w:lineRule="exact"/>
        <w:ind w:left="1418" w:hanging="417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各機關（構）：最高補助比率，以活動總經費百分之七十為限。但為配合本署重要政策或年度重點工作辦理之活動，經本署核准者，不在此限。</w:t>
      </w:r>
    </w:p>
    <w:p w:rsidR="00771F24" w:rsidRDefault="00385D55">
      <w:pPr>
        <w:pStyle w:val="a5"/>
        <w:numPr>
          <w:ilvl w:val="0"/>
          <w:numId w:val="11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補助經費項目依教育部補（捐）助及委辦計畫經費編列基準表規定辦理。</w:t>
      </w:r>
    </w:p>
    <w:p w:rsidR="00771F24" w:rsidRDefault="00385D55">
      <w:pPr>
        <w:pStyle w:val="a5"/>
        <w:numPr>
          <w:ilvl w:val="0"/>
          <w:numId w:val="11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本計畫補助經費應專款專用，不得挪用至其他用途，經費之請撥、支用、核銷結報事項，應依教育部補（捐）助及委辦經費核撥結報作業要點及本署相關規定辦理。</w:t>
      </w:r>
    </w:p>
    <w:p w:rsidR="00771F24" w:rsidRDefault="00385D55">
      <w:pPr>
        <w:pStyle w:val="a5"/>
        <w:numPr>
          <w:ilvl w:val="0"/>
          <w:numId w:val="9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受補助地方政府未依核定之計畫期限辦理、擅自變更計畫、未提報成果報告、經費收支結算或執行成果績效不彰者，其次一學年度申請本補助者，不予核准。</w:t>
      </w:r>
    </w:p>
    <w:p w:rsidR="00771F24" w:rsidRDefault="00385D55">
      <w:pPr>
        <w:pStyle w:val="Standard"/>
        <w:numPr>
          <w:ilvl w:val="0"/>
          <w:numId w:val="2"/>
        </w:numPr>
        <w:tabs>
          <w:tab w:val="left" w:pos="1280"/>
        </w:tabs>
        <w:spacing w:line="460" w:lineRule="exact"/>
        <w:ind w:left="560" w:hanging="56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其他事項，規定如下：</w:t>
      </w:r>
    </w:p>
    <w:p w:rsidR="00771F24" w:rsidRDefault="00385D55">
      <w:pPr>
        <w:pStyle w:val="a5"/>
        <w:numPr>
          <w:ilvl w:val="0"/>
          <w:numId w:val="26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依本補助而研發與產生之戶外教育或海洋教育之教材、影片及成果資料等，應上傳於本署指定之網站推廣分享，並無償授權本署及本署指定之單位於非營利目的使用時，進行剪輯、重製等。</w:t>
      </w:r>
    </w:p>
    <w:p w:rsidR="00771F24" w:rsidRDefault="00385D55">
      <w:pPr>
        <w:pStyle w:val="a5"/>
        <w:numPr>
          <w:ilvl w:val="0"/>
          <w:numId w:val="13"/>
        </w:numPr>
        <w:spacing w:line="460" w:lineRule="exact"/>
        <w:ind w:left="850" w:hanging="848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本補助之成果檢核及獎勵規定如下：</w:t>
      </w:r>
    </w:p>
    <w:p w:rsidR="00771F24" w:rsidRDefault="00385D55">
      <w:pPr>
        <w:pStyle w:val="a5"/>
        <w:numPr>
          <w:ilvl w:val="0"/>
          <w:numId w:val="27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地方政府對所屬學校應善盡監督輔導之責，得辦理成果發表會，邀請受補助學校參與報告與研討，以收互相砥礪成長之功效。</w:t>
      </w:r>
    </w:p>
    <w:p w:rsidR="00771F24" w:rsidRDefault="00385D55">
      <w:pPr>
        <w:pStyle w:val="a5"/>
        <w:numPr>
          <w:ilvl w:val="0"/>
          <w:numId w:val="14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於核定之計畫執行期間，應配合本署輔導機制。</w:t>
      </w:r>
    </w:p>
    <w:p w:rsidR="00771F24" w:rsidRDefault="00385D55">
      <w:pPr>
        <w:pStyle w:val="a5"/>
        <w:numPr>
          <w:ilvl w:val="0"/>
          <w:numId w:val="14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地方政府應彙整執行成果；本署得邀請專家學者進行整體執行成果評選，評選項目包括成果書面報告、成果觀摩展示、網路</w:t>
      </w:r>
      <w:r>
        <w:rPr>
          <w:rFonts w:ascii="Times New Roman" w:eastAsia="標楷體" w:hAnsi="Times New Roman"/>
          <w:sz w:val="28"/>
          <w:szCs w:val="28"/>
        </w:rPr>
        <w:lastRenderedPageBreak/>
        <w:t>平臺建置等；本署得組成諮詢輔導小組至地方政府</w:t>
      </w:r>
      <w:r>
        <w:rPr>
          <w:rFonts w:ascii="Times New Roman" w:eastAsia="標楷體" w:hAnsi="Times New Roman"/>
          <w:kern w:val="0"/>
          <w:sz w:val="28"/>
          <w:szCs w:val="28"/>
        </w:rPr>
        <w:t>戶外教育及海洋教育中心</w:t>
      </w:r>
      <w:r>
        <w:rPr>
          <w:rFonts w:ascii="Times New Roman" w:eastAsia="標楷體" w:hAnsi="Times New Roman"/>
          <w:sz w:val="28"/>
          <w:szCs w:val="28"/>
        </w:rPr>
        <w:t>及相關單位瞭解實際情形。</w:t>
      </w:r>
    </w:p>
    <w:p w:rsidR="00771F24" w:rsidRDefault="00385D55">
      <w:pPr>
        <w:pStyle w:val="a5"/>
        <w:numPr>
          <w:ilvl w:val="0"/>
          <w:numId w:val="14"/>
        </w:numPr>
        <w:spacing w:line="460" w:lineRule="exact"/>
        <w:ind w:left="1134"/>
        <w:jc w:val="both"/>
      </w:pPr>
      <w:r>
        <w:rPr>
          <w:rFonts w:ascii="Times New Roman" w:eastAsia="標楷體" w:hAnsi="Times New Roman"/>
          <w:sz w:val="28"/>
          <w:szCs w:val="28"/>
        </w:rPr>
        <w:t>地方政府執行成果，經評選得獎者，得於全國戶外教育或海洋教育成果相關會議予以表揚。</w:t>
      </w:r>
    </w:p>
    <w:p w:rsidR="00771F24" w:rsidRDefault="00385D55">
      <w:pPr>
        <w:pStyle w:val="a5"/>
        <w:numPr>
          <w:ilvl w:val="0"/>
          <w:numId w:val="13"/>
        </w:numPr>
        <w:spacing w:after="100" w:line="460" w:lineRule="exact"/>
        <w:ind w:left="851" w:hanging="851"/>
        <w:jc w:val="both"/>
        <w:sectPr w:rsidR="00771F24">
          <w:pgSz w:w="11906" w:h="16838"/>
          <w:pgMar w:top="1418" w:right="1418" w:bottom="1418" w:left="1701" w:header="720" w:footer="720" w:gutter="0"/>
          <w:cols w:space="720"/>
        </w:sectPr>
      </w:pPr>
      <w:r>
        <w:rPr>
          <w:rFonts w:ascii="Times New Roman" w:eastAsia="標楷體" w:hAnsi="Times New Roman"/>
          <w:kern w:val="0"/>
          <w:sz w:val="28"/>
          <w:szCs w:val="28"/>
        </w:rPr>
        <w:t>依本要點推動戶外教育及海洋教育成效優良者，應視各項執行成效，依權責給予承辦</w:t>
      </w:r>
      <w:r>
        <w:rPr>
          <w:rFonts w:ascii="Times New Roman" w:eastAsia="標楷體" w:hAnsi="Times New Roman"/>
          <w:kern w:val="0"/>
          <w:sz w:val="28"/>
          <w:szCs w:val="28"/>
        </w:rPr>
        <w:t>人員及參與教師敘獎鼓勵。</w:t>
      </w:r>
    </w:p>
    <w:p w:rsidR="00771F24" w:rsidRDefault="00771F24">
      <w:pPr>
        <w:pStyle w:val="Standard"/>
        <w:spacing w:line="460" w:lineRule="exact"/>
      </w:pPr>
    </w:p>
    <w:sectPr w:rsidR="00771F24">
      <w:footerReference w:type="default" r:id="rId7"/>
      <w:pgSz w:w="11906" w:h="16838"/>
      <w:pgMar w:top="1440" w:right="1077" w:bottom="1440" w:left="107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55" w:rsidRDefault="00385D55">
      <w:r>
        <w:separator/>
      </w:r>
    </w:p>
  </w:endnote>
  <w:endnote w:type="continuationSeparator" w:id="0">
    <w:p w:rsidR="00385D55" w:rsidRDefault="0038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5A" w:rsidRDefault="00385D55">
    <w:pPr>
      <w:pStyle w:val="a7"/>
      <w:jc w:val="center"/>
    </w:pPr>
  </w:p>
  <w:p w:rsidR="00E0235A" w:rsidRDefault="00385D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55" w:rsidRDefault="00385D55">
      <w:r>
        <w:rPr>
          <w:color w:val="000000"/>
        </w:rPr>
        <w:separator/>
      </w:r>
    </w:p>
  </w:footnote>
  <w:footnote w:type="continuationSeparator" w:id="0">
    <w:p w:rsidR="00385D55" w:rsidRDefault="0038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DA1"/>
    <w:multiLevelType w:val="multilevel"/>
    <w:tmpl w:val="0462652E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/>
        <w:strike w:val="0"/>
        <w:dstrike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936" w:hanging="456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A4059"/>
    <w:multiLevelType w:val="multilevel"/>
    <w:tmpl w:val="BE4010AC"/>
    <w:styleLink w:val="WWNum11"/>
    <w:lvl w:ilvl="0">
      <w:start w:val="1"/>
      <w:numFmt w:val="decimal"/>
      <w:lvlText w:val="(%1)"/>
      <w:lvlJc w:val="left"/>
      <w:pPr>
        <w:ind w:left="1560" w:hanging="48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11917B9"/>
    <w:multiLevelType w:val="multilevel"/>
    <w:tmpl w:val="84F40CE8"/>
    <w:styleLink w:val="WWNum2"/>
    <w:lvl w:ilvl="0">
      <w:start w:val="1"/>
      <w:numFmt w:val="japaneseCounting"/>
      <w:lvlText w:val="（%1）"/>
      <w:lvlJc w:val="left"/>
      <w:pPr>
        <w:ind w:left="3975" w:hanging="855"/>
      </w:pPr>
      <w:rPr>
        <w:rFonts w:ascii="Times New Roman" w:eastAsia="標楷體" w:hAnsi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0F47541"/>
    <w:multiLevelType w:val="multilevel"/>
    <w:tmpl w:val="0BF63B0A"/>
    <w:styleLink w:val="WWNum6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220D06FA"/>
    <w:multiLevelType w:val="multilevel"/>
    <w:tmpl w:val="C99871A0"/>
    <w:styleLink w:val="WWNum7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5" w15:restartNumberingAfterBreak="0">
    <w:nsid w:val="27CE4391"/>
    <w:multiLevelType w:val="multilevel"/>
    <w:tmpl w:val="94E6D6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1485C12"/>
    <w:multiLevelType w:val="multilevel"/>
    <w:tmpl w:val="C4487AF4"/>
    <w:styleLink w:val="WWNum4"/>
    <w:lvl w:ilvl="0">
      <w:start w:val="1"/>
      <w:numFmt w:val="japaneseCounting"/>
      <w:lvlText w:val="（%1）"/>
      <w:lvlJc w:val="left"/>
      <w:pPr>
        <w:ind w:left="1337" w:hanging="855"/>
      </w:pPr>
      <w:rPr>
        <w:rFonts w:ascii="Times New Roman" w:eastAsia="標楷體" w:hAnsi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28A03B5"/>
    <w:multiLevelType w:val="multilevel"/>
    <w:tmpl w:val="ADCC1800"/>
    <w:styleLink w:val="WWNum13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8" w15:restartNumberingAfterBreak="0">
    <w:nsid w:val="378E79D8"/>
    <w:multiLevelType w:val="multilevel"/>
    <w:tmpl w:val="28E2D550"/>
    <w:styleLink w:val="WWNum8"/>
    <w:lvl w:ilvl="0">
      <w:start w:val="1"/>
      <w:numFmt w:val="japaneseCounting"/>
      <w:lvlText w:val="（%1）"/>
      <w:lvlJc w:val="left"/>
      <w:pPr>
        <w:ind w:left="1337" w:hanging="855"/>
      </w:pPr>
      <w:rPr>
        <w:rFonts w:ascii="Times New Roman" w:eastAsia="標楷體" w:hAnsi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AFA5803"/>
    <w:multiLevelType w:val="multilevel"/>
    <w:tmpl w:val="529ED93A"/>
    <w:styleLink w:val="WWNum5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42E164ED"/>
    <w:multiLevelType w:val="multilevel"/>
    <w:tmpl w:val="605E7E14"/>
    <w:styleLink w:val="WWNum3"/>
    <w:lvl w:ilvl="0">
      <w:start w:val="1"/>
      <w:numFmt w:val="japaneseCounting"/>
      <w:lvlText w:val="（%1）"/>
      <w:lvlJc w:val="left"/>
      <w:pPr>
        <w:ind w:left="1337" w:hanging="855"/>
      </w:pPr>
      <w:rPr>
        <w:rFonts w:ascii="Times New Roman" w:eastAsia="標楷體" w:hAnsi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A223E16"/>
    <w:multiLevelType w:val="multilevel"/>
    <w:tmpl w:val="26A4ACBC"/>
    <w:styleLink w:val="WWNum10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694B2441"/>
    <w:multiLevelType w:val="multilevel"/>
    <w:tmpl w:val="F0021C6A"/>
    <w:styleLink w:val="WWNum12"/>
    <w:lvl w:ilvl="0">
      <w:start w:val="1"/>
      <w:numFmt w:val="japaneseCounting"/>
      <w:lvlText w:val="（%1）"/>
      <w:lvlJc w:val="left"/>
      <w:pPr>
        <w:ind w:left="1337" w:hanging="855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79AA4148"/>
    <w:multiLevelType w:val="multilevel"/>
    <w:tmpl w:val="6F48A79C"/>
    <w:styleLink w:val="WWNum9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1F24"/>
    <w:rsid w:val="00385D55"/>
    <w:rsid w:val="00492AA4"/>
    <w:rsid w:val="007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AFB9-1B4D-49FB-BE6F-A40DAA7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Title"/>
    <w:basedOn w:val="Standard"/>
    <w:next w:val="Standard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ac">
    <w:name w:val="Date"/>
    <w:basedOn w:val="Standard"/>
    <w:next w:val="Standard"/>
    <w:pPr>
      <w:jc w:val="right"/>
    </w:pPr>
  </w:style>
  <w:style w:type="character" w:customStyle="1" w:styleId="ad">
    <w:name w:val="頁首 字元"/>
    <w:basedOn w:val="a0"/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</w:style>
  <w:style w:type="character" w:customStyle="1" w:styleId="af2">
    <w:name w:val="註解主旨 字元"/>
    <w:basedOn w:val="af1"/>
    <w:rPr>
      <w:b/>
      <w:bCs/>
    </w:rPr>
  </w:style>
  <w:style w:type="character" w:customStyle="1" w:styleId="af3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4">
    <w:name w:val="清單段落 字元"/>
  </w:style>
  <w:style w:type="character" w:customStyle="1" w:styleId="af5">
    <w:name w:val="日期 字元"/>
    <w:basedOn w:val="a0"/>
  </w:style>
  <w:style w:type="character" w:customStyle="1" w:styleId="ListLabel1">
    <w:name w:val="ListLabel 1"/>
    <w:rPr>
      <w:rFonts w:ascii="Times New Roman" w:eastAsia="標楷體" w:hAnsi="Times New Roman" w:cs="Times New Roman"/>
      <w:strike w:val="0"/>
      <w:dstrike w:val="0"/>
      <w:sz w:val="28"/>
      <w:szCs w:val="28"/>
    </w:rPr>
  </w:style>
  <w:style w:type="character" w:customStyle="1" w:styleId="ListLabel2">
    <w:name w:val="ListLabel 2"/>
    <w:rPr>
      <w:rFonts w:ascii="Times New Roman" w:eastAsia="標楷體" w:hAnsi="Times New Roman" w:cs="Times New Roman"/>
      <w:sz w:val="28"/>
      <w:szCs w:val="28"/>
    </w:rPr>
  </w:style>
  <w:style w:type="character" w:customStyle="1" w:styleId="ListLabel3">
    <w:name w:val="ListLabel 3"/>
    <w:rPr>
      <w:rFonts w:ascii="Times New Roman" w:eastAsia="標楷體" w:hAnsi="Times New Roman" w:cs="Times New Roman"/>
      <w:sz w:val="28"/>
      <w:szCs w:val="28"/>
    </w:rPr>
  </w:style>
  <w:style w:type="character" w:customStyle="1" w:styleId="ListLabel4">
    <w:name w:val="ListLabel 4"/>
    <w:rPr>
      <w:rFonts w:ascii="Times New Roman" w:eastAsia="標楷體" w:hAnsi="Times New Roman" w:cs="Times New Roman"/>
      <w:sz w:val="28"/>
      <w:szCs w:val="28"/>
    </w:rPr>
  </w:style>
  <w:style w:type="character" w:customStyle="1" w:styleId="ListLabel5">
    <w:name w:val="ListLabel 5"/>
    <w:rPr>
      <w:rFonts w:ascii="Times New Roman" w:eastAsia="標楷體" w:hAnsi="Times New Roman" w:cs="Times New Roman"/>
      <w:color w:val="auto"/>
      <w:sz w:val="28"/>
    </w:rPr>
  </w:style>
  <w:style w:type="character" w:customStyle="1" w:styleId="ListLabel6">
    <w:name w:val="ListLabel 6"/>
    <w:rPr>
      <w:rFonts w:ascii="Times New Roman" w:eastAsia="標楷體" w:hAnsi="Times New Roman" w:cs="Times New Roman"/>
      <w:color w:val="auto"/>
      <w:sz w:val="28"/>
    </w:rPr>
  </w:style>
  <w:style w:type="character" w:customStyle="1" w:styleId="ListLabel7">
    <w:name w:val="ListLabel 7"/>
    <w:rPr>
      <w:rFonts w:ascii="Times New Roman" w:eastAsia="標楷體" w:hAnsi="Times New Roman" w:cs="Times New Roman"/>
      <w:color w:val="auto"/>
      <w:sz w:val="28"/>
    </w:rPr>
  </w:style>
  <w:style w:type="character" w:customStyle="1" w:styleId="ListLabel8">
    <w:name w:val="ListLabel 8"/>
    <w:rPr>
      <w:rFonts w:ascii="Times New Roman" w:eastAsia="標楷體" w:hAnsi="Times New Roman" w:cs="Times New Roman"/>
      <w:sz w:val="28"/>
      <w:szCs w:val="28"/>
    </w:rPr>
  </w:style>
  <w:style w:type="character" w:customStyle="1" w:styleId="ListLabel9">
    <w:name w:val="ListLabel 9"/>
    <w:rPr>
      <w:rFonts w:ascii="Times New Roman" w:eastAsia="標楷體" w:hAnsi="Times New Roman" w:cs="Times New Roman"/>
      <w:color w:val="auto"/>
      <w:sz w:val="28"/>
    </w:rPr>
  </w:style>
  <w:style w:type="character" w:customStyle="1" w:styleId="ListLabel10">
    <w:name w:val="ListLabel 10"/>
    <w:rPr>
      <w:rFonts w:ascii="Times New Roman" w:eastAsia="標楷體" w:hAnsi="Times New Roman" w:cs="Times New Roman"/>
      <w:color w:val="auto"/>
      <w:sz w:val="28"/>
    </w:rPr>
  </w:style>
  <w:style w:type="character" w:customStyle="1" w:styleId="ListLabel11">
    <w:name w:val="ListLabel 11"/>
    <w:rPr>
      <w:rFonts w:ascii="Times New Roman" w:eastAsia="標楷體" w:hAnsi="Times New Roman" w:cs="Times New Roman"/>
      <w:color w:val="auto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wuckuo</dc:creator>
  <cp:lastModifiedBy>user</cp:lastModifiedBy>
  <cp:revision>2</cp:revision>
  <cp:lastPrinted>2021-05-25T06:15:00Z</cp:lastPrinted>
  <dcterms:created xsi:type="dcterms:W3CDTF">2021-06-08T06:39:00Z</dcterms:created>
  <dcterms:modified xsi:type="dcterms:W3CDTF">2021-06-08T06:39:00Z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